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附件1：</w:t>
      </w:r>
    </w:p>
    <w:p>
      <w:pPr>
        <w:shd w:val="clear" w:color="auto" w:fill="FFFFFF"/>
        <w:tabs>
          <w:tab w:val="left" w:pos="828"/>
          <w:tab w:val="left" w:pos="1908"/>
          <w:tab w:val="left" w:pos="4876"/>
        </w:tabs>
        <w:snapToGrid w:val="0"/>
        <w:spacing w:before="100" w:beforeAutospacing="1" w:after="100" w:afterAutospacing="1"/>
        <w:jc w:val="center"/>
        <w:rPr>
          <w:b/>
          <w:sz w:val="28"/>
          <w:szCs w:val="28"/>
        </w:rPr>
      </w:pPr>
      <w:r>
        <w:rPr>
          <w:rFonts w:hint="eastAsia" w:ascii="宋体"/>
          <w:b/>
          <w:sz w:val="28"/>
          <w:szCs w:val="28"/>
        </w:rPr>
        <w:t>综合评审打分表</w:t>
      </w:r>
    </w:p>
    <w:tbl>
      <w:tblPr>
        <w:tblStyle w:val="3"/>
        <w:tblW w:w="8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5"/>
        <w:gridCol w:w="1314"/>
        <w:gridCol w:w="996"/>
        <w:gridCol w:w="5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4" w:hRule="atLeast"/>
          <w:jc w:val="center"/>
        </w:trPr>
        <w:tc>
          <w:tcPr>
            <w:tcW w:w="635" w:type="dxa"/>
            <w:noWrap w:val="0"/>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评审要素</w:t>
            </w:r>
          </w:p>
        </w:tc>
        <w:tc>
          <w:tcPr>
            <w:tcW w:w="1314" w:type="dxa"/>
            <w:noWrap w:val="0"/>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评审项目</w:t>
            </w:r>
          </w:p>
        </w:tc>
        <w:tc>
          <w:tcPr>
            <w:tcW w:w="996" w:type="dxa"/>
            <w:noWrap w:val="0"/>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分值</w:t>
            </w:r>
          </w:p>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（100分）</w:t>
            </w:r>
          </w:p>
        </w:tc>
        <w:tc>
          <w:tcPr>
            <w:tcW w:w="5635" w:type="dxa"/>
            <w:noWrap w:val="0"/>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21" w:hRule="atLeast"/>
          <w:jc w:val="center"/>
        </w:trPr>
        <w:tc>
          <w:tcPr>
            <w:tcW w:w="635" w:type="dxa"/>
            <w:vMerge w:val="restart"/>
            <w:noWrap w:val="0"/>
            <w:vAlign w:val="center"/>
          </w:tcPr>
          <w:p>
            <w:pPr>
              <w:widowControl/>
              <w:jc w:val="center"/>
              <w:textAlignment w:val="center"/>
              <w:rPr>
                <w:rFonts w:hint="eastAsia" w:ascii="宋体" w:hAnsi="宋体" w:cs="宋体"/>
                <w:kern w:val="0"/>
                <w:sz w:val="22"/>
                <w:szCs w:val="22"/>
                <w:lang w:bidi="ar"/>
              </w:rPr>
            </w:pPr>
          </w:p>
          <w:p>
            <w:pPr>
              <w:widowControl/>
              <w:jc w:val="center"/>
              <w:textAlignment w:val="center"/>
              <w:rPr>
                <w:rFonts w:hint="eastAsia" w:ascii="宋体" w:hAnsi="宋体" w:cs="宋体"/>
                <w:kern w:val="0"/>
                <w:sz w:val="22"/>
                <w:szCs w:val="22"/>
                <w:lang w:bidi="ar"/>
              </w:rPr>
            </w:pPr>
          </w:p>
          <w:p>
            <w:pPr>
              <w:widowControl/>
              <w:jc w:val="center"/>
              <w:textAlignment w:val="center"/>
              <w:rPr>
                <w:rFonts w:hint="eastAsia" w:ascii="宋体" w:hAnsi="宋体" w:cs="宋体"/>
                <w:kern w:val="0"/>
                <w:sz w:val="22"/>
                <w:szCs w:val="22"/>
                <w:lang w:bidi="ar"/>
              </w:rPr>
            </w:pPr>
          </w:p>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综合实力</w:t>
            </w:r>
          </w:p>
        </w:tc>
        <w:tc>
          <w:tcPr>
            <w:tcW w:w="1314" w:type="dxa"/>
            <w:vMerge w:val="restart"/>
            <w:noWrap w:val="0"/>
            <w:vAlign w:val="center"/>
          </w:tcPr>
          <w:p>
            <w:pPr>
              <w:jc w:val="left"/>
              <w:textAlignment w:val="center"/>
              <w:rPr>
                <w:rFonts w:hint="eastAsia" w:ascii="宋体" w:hAnsi="宋体" w:cs="宋体"/>
                <w:sz w:val="22"/>
                <w:szCs w:val="22"/>
              </w:rPr>
            </w:pPr>
            <w:r>
              <w:rPr>
                <w:rFonts w:hint="eastAsia" w:ascii="宋体" w:hAnsi="宋体" w:cs="宋体"/>
              </w:rPr>
              <w:t>承销业绩</w:t>
            </w:r>
          </w:p>
        </w:tc>
        <w:tc>
          <w:tcPr>
            <w:tcW w:w="996" w:type="dxa"/>
            <w:noWrap w:val="0"/>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满分10分</w:t>
            </w:r>
          </w:p>
        </w:tc>
        <w:tc>
          <w:tcPr>
            <w:tcW w:w="5635" w:type="dxa"/>
            <w:noWrap w:val="0"/>
            <w:vAlign w:val="center"/>
          </w:tcPr>
          <w:p>
            <w:pPr>
              <w:widowControl/>
              <w:jc w:val="left"/>
              <w:textAlignment w:val="center"/>
              <w:rPr>
                <w:rFonts w:hint="eastAsia" w:ascii="宋体" w:hAnsi="宋体" w:cs="宋体"/>
                <w:b/>
                <w:bCs/>
                <w:color w:val="000000"/>
              </w:rPr>
            </w:pPr>
            <w:r>
              <w:rPr>
                <w:rFonts w:hint="eastAsia" w:ascii="宋体" w:hAnsi="宋体" w:cs="宋体"/>
                <w:color w:val="000000"/>
              </w:rPr>
              <w:t>根据2019年1月1日-2020年3月31日承销全国范围内交易商协会债务融资工具发行金额，投标申请人中发行量4000亿以上得10分，后续根据投标人发行情况每减少400亿扣减1分，扣完为止，没有业绩的不得分。查询路径为：</w:t>
            </w:r>
            <w:r>
              <w:rPr>
                <w:rFonts w:ascii="宋体" w:hAnsi="宋体" w:cs="宋体"/>
                <w:color w:val="000000"/>
              </w:rPr>
              <w:t>WIND</w:t>
            </w:r>
            <w:r>
              <w:rPr>
                <w:rFonts w:hint="eastAsia" w:ascii="宋体" w:hAnsi="宋体" w:cs="宋体"/>
                <w:color w:val="000000"/>
              </w:rPr>
              <w:t>咨询软件--债券--专题统计--一级市场--债券承销排名（N</w:t>
            </w:r>
            <w:r>
              <w:rPr>
                <w:rFonts w:ascii="宋体" w:hAnsi="宋体" w:cs="宋体"/>
                <w:color w:val="000000"/>
              </w:rPr>
              <w:t>AFMII</w:t>
            </w:r>
            <w:r>
              <w:rPr>
                <w:rFonts w:hint="eastAsia" w:ascii="宋体" w:hAnsi="宋体" w:cs="宋体"/>
                <w:color w:val="000000"/>
              </w:rPr>
              <w:t>）（W</w:t>
            </w:r>
            <w:r>
              <w:rPr>
                <w:rFonts w:ascii="宋体" w:hAnsi="宋体" w:cs="宋体"/>
                <w:color w:val="000000"/>
              </w:rPr>
              <w:t>IND</w:t>
            </w:r>
            <w:r>
              <w:rPr>
                <w:rFonts w:hint="eastAsia" w:ascii="宋体" w:hAnsi="宋体" w:cs="宋体"/>
                <w:color w:val="000000"/>
              </w:rPr>
              <w:t>截图作为证明材料）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21" w:hRule="atLeast"/>
          <w:jc w:val="center"/>
        </w:trPr>
        <w:tc>
          <w:tcPr>
            <w:tcW w:w="635" w:type="dxa"/>
            <w:vMerge w:val="continue"/>
            <w:noWrap w:val="0"/>
            <w:vAlign w:val="center"/>
          </w:tcPr>
          <w:p>
            <w:pPr>
              <w:widowControl/>
              <w:jc w:val="center"/>
              <w:textAlignment w:val="center"/>
              <w:rPr>
                <w:rFonts w:hint="eastAsia" w:ascii="宋体" w:hAnsi="宋体" w:cs="宋体"/>
                <w:kern w:val="0"/>
                <w:sz w:val="22"/>
                <w:szCs w:val="22"/>
                <w:lang w:bidi="ar"/>
              </w:rPr>
            </w:pPr>
          </w:p>
        </w:tc>
        <w:tc>
          <w:tcPr>
            <w:tcW w:w="1314" w:type="dxa"/>
            <w:vMerge w:val="continue"/>
            <w:noWrap w:val="0"/>
            <w:vAlign w:val="center"/>
          </w:tcPr>
          <w:p>
            <w:pPr>
              <w:jc w:val="left"/>
              <w:textAlignment w:val="center"/>
              <w:rPr>
                <w:rFonts w:hint="eastAsia" w:ascii="宋体" w:hAnsi="宋体" w:cs="宋体"/>
                <w:sz w:val="22"/>
                <w:szCs w:val="22"/>
              </w:rPr>
            </w:pPr>
          </w:p>
        </w:tc>
        <w:tc>
          <w:tcPr>
            <w:tcW w:w="996" w:type="dxa"/>
            <w:noWrap w:val="0"/>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满分10分</w:t>
            </w:r>
          </w:p>
        </w:tc>
        <w:tc>
          <w:tcPr>
            <w:tcW w:w="5635" w:type="dxa"/>
            <w:noWrap w:val="0"/>
            <w:vAlign w:val="center"/>
          </w:tcPr>
          <w:p>
            <w:pPr>
              <w:widowControl/>
              <w:jc w:val="left"/>
              <w:textAlignment w:val="center"/>
              <w:rPr>
                <w:rFonts w:hint="eastAsia" w:ascii="宋体" w:hAnsi="宋体" w:cs="宋体"/>
                <w:b/>
                <w:bCs/>
                <w:color w:val="000000"/>
              </w:rPr>
            </w:pPr>
            <w:r>
              <w:rPr>
                <w:rFonts w:hint="eastAsia" w:ascii="宋体" w:hAnsi="宋体" w:cs="宋体"/>
                <w:color w:val="000000"/>
              </w:rPr>
              <w:t>根据2019年1月1日-2020年3月31日承销全国范围内交易商协会债务融资工具发行中期票据金额进行评分，投标申请人中发行量1000亿以上得10分，后续根据投标人发行情况每减少100亿扣减1分，扣完为止，没有业绩的不得分。查询路径为：</w:t>
            </w:r>
            <w:r>
              <w:rPr>
                <w:rFonts w:ascii="宋体" w:hAnsi="宋体" w:cs="宋体"/>
                <w:color w:val="000000"/>
              </w:rPr>
              <w:t>WIND</w:t>
            </w:r>
            <w:r>
              <w:rPr>
                <w:rFonts w:hint="eastAsia" w:ascii="宋体" w:hAnsi="宋体" w:cs="宋体"/>
                <w:color w:val="000000"/>
              </w:rPr>
              <w:t>咨询软件--债券--专题统计--一级市场--债券承销排名（N</w:t>
            </w:r>
            <w:r>
              <w:rPr>
                <w:rFonts w:ascii="宋体" w:hAnsi="宋体" w:cs="宋体"/>
                <w:color w:val="000000"/>
              </w:rPr>
              <w:t>AFMII</w:t>
            </w:r>
            <w:r>
              <w:rPr>
                <w:rFonts w:hint="eastAsia" w:ascii="宋体" w:hAnsi="宋体" w:cs="宋体"/>
                <w:color w:val="000000"/>
              </w:rPr>
              <w:t>）（W</w:t>
            </w:r>
            <w:r>
              <w:rPr>
                <w:rFonts w:ascii="宋体" w:hAnsi="宋体" w:cs="宋体"/>
                <w:color w:val="000000"/>
              </w:rPr>
              <w:t>IND</w:t>
            </w:r>
            <w:r>
              <w:rPr>
                <w:rFonts w:hint="eastAsia" w:ascii="宋体" w:hAnsi="宋体" w:cs="宋体"/>
                <w:color w:val="000000"/>
              </w:rPr>
              <w:t>截图作为证明材料）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21" w:hRule="atLeast"/>
          <w:jc w:val="center"/>
        </w:trPr>
        <w:tc>
          <w:tcPr>
            <w:tcW w:w="635" w:type="dxa"/>
            <w:vMerge w:val="continue"/>
            <w:noWrap w:val="0"/>
            <w:vAlign w:val="center"/>
          </w:tcPr>
          <w:p>
            <w:pPr>
              <w:widowControl/>
              <w:jc w:val="center"/>
              <w:textAlignment w:val="center"/>
              <w:rPr>
                <w:rFonts w:hint="eastAsia" w:ascii="宋体" w:hAnsi="宋体" w:cs="宋体"/>
                <w:kern w:val="0"/>
                <w:sz w:val="22"/>
                <w:szCs w:val="22"/>
                <w:lang w:bidi="ar"/>
              </w:rPr>
            </w:pPr>
          </w:p>
        </w:tc>
        <w:tc>
          <w:tcPr>
            <w:tcW w:w="1314" w:type="dxa"/>
            <w:vMerge w:val="continue"/>
            <w:noWrap w:val="0"/>
            <w:vAlign w:val="center"/>
          </w:tcPr>
          <w:p>
            <w:pPr>
              <w:jc w:val="left"/>
              <w:textAlignment w:val="center"/>
              <w:rPr>
                <w:rFonts w:hint="eastAsia" w:ascii="宋体" w:hAnsi="宋体" w:cs="宋体"/>
              </w:rPr>
            </w:pPr>
          </w:p>
        </w:tc>
        <w:tc>
          <w:tcPr>
            <w:tcW w:w="996" w:type="dxa"/>
            <w:noWrap w:val="0"/>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满分10分</w:t>
            </w:r>
          </w:p>
        </w:tc>
        <w:tc>
          <w:tcPr>
            <w:tcW w:w="5635" w:type="dxa"/>
            <w:noWrap w:val="0"/>
            <w:vAlign w:val="center"/>
          </w:tcPr>
          <w:p>
            <w:pPr>
              <w:widowControl/>
              <w:jc w:val="left"/>
              <w:textAlignment w:val="center"/>
              <w:rPr>
                <w:rFonts w:hint="eastAsia" w:ascii="宋体" w:hAnsi="宋体" w:cs="宋体"/>
                <w:color w:val="000000"/>
              </w:rPr>
            </w:pPr>
            <w:r>
              <w:rPr>
                <w:rFonts w:hint="eastAsia" w:ascii="宋体" w:hAnsi="宋体" w:cs="宋体"/>
                <w:color w:val="000000"/>
              </w:rPr>
              <w:t>根据2019年1月1日-2020年3月31日承销安徽省内交易商协会债务融资工具发行金额进行评分，投标申请人发行量240亿以上的得满分，每减少20亿扣减1分，扣完为止，没有业绩的不得分。查询路径为：WIND咨询软件-债券-专题统计-一级市场-债券承销分地域排名（债券分类（NAFMII））（WIND截图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21" w:hRule="atLeast"/>
          <w:jc w:val="center"/>
        </w:trPr>
        <w:tc>
          <w:tcPr>
            <w:tcW w:w="635" w:type="dxa"/>
            <w:vMerge w:val="continue"/>
            <w:noWrap w:val="0"/>
            <w:vAlign w:val="center"/>
          </w:tcPr>
          <w:p>
            <w:pPr>
              <w:widowControl/>
              <w:jc w:val="center"/>
              <w:textAlignment w:val="center"/>
              <w:rPr>
                <w:rFonts w:hint="eastAsia" w:ascii="宋体" w:hAnsi="宋体" w:cs="宋体"/>
                <w:kern w:val="0"/>
                <w:sz w:val="22"/>
                <w:szCs w:val="22"/>
                <w:lang w:bidi="ar"/>
              </w:rPr>
            </w:pPr>
          </w:p>
        </w:tc>
        <w:tc>
          <w:tcPr>
            <w:tcW w:w="1314" w:type="dxa"/>
            <w:vMerge w:val="continue"/>
            <w:noWrap w:val="0"/>
            <w:vAlign w:val="center"/>
          </w:tcPr>
          <w:p>
            <w:pPr>
              <w:widowControl/>
              <w:jc w:val="left"/>
              <w:textAlignment w:val="center"/>
              <w:rPr>
                <w:rFonts w:hint="eastAsia" w:ascii="宋体" w:hAnsi="宋体" w:cs="宋体"/>
              </w:rPr>
            </w:pPr>
          </w:p>
        </w:tc>
        <w:tc>
          <w:tcPr>
            <w:tcW w:w="996" w:type="dxa"/>
            <w:noWrap w:val="0"/>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满分10分</w:t>
            </w:r>
          </w:p>
        </w:tc>
        <w:tc>
          <w:tcPr>
            <w:tcW w:w="5635" w:type="dxa"/>
            <w:noWrap w:val="0"/>
            <w:vAlign w:val="center"/>
          </w:tcPr>
          <w:p>
            <w:pPr>
              <w:widowControl/>
              <w:jc w:val="left"/>
              <w:textAlignment w:val="center"/>
              <w:rPr>
                <w:rFonts w:hint="eastAsia" w:ascii="宋体" w:hAnsi="宋体" w:cs="宋体"/>
                <w:color w:val="000000"/>
              </w:rPr>
            </w:pPr>
            <w:r>
              <w:rPr>
                <w:rFonts w:hint="eastAsia" w:ascii="宋体" w:hAnsi="宋体" w:cs="宋体"/>
                <w:color w:val="000000"/>
              </w:rPr>
              <w:t>根据2019年1月1日-2020年3月31日承销安徽省内交易商协会债务融资工具发行中期票据金额进行排名，投标申请人发行量30亿以上的得满分，20-30亿得5分，20亿以下不得分。查询路径为：</w:t>
            </w:r>
            <w:r>
              <w:rPr>
                <w:rFonts w:ascii="宋体" w:hAnsi="宋体" w:cs="宋体"/>
                <w:color w:val="000000"/>
              </w:rPr>
              <w:t>WIND</w:t>
            </w:r>
            <w:r>
              <w:rPr>
                <w:rFonts w:hint="eastAsia" w:ascii="宋体" w:hAnsi="宋体" w:cs="宋体"/>
                <w:color w:val="000000"/>
              </w:rPr>
              <w:t>咨询软件-债券-专题统计-一级市场-债券承销分地域排名（债券分类（N</w:t>
            </w:r>
            <w:r>
              <w:rPr>
                <w:rFonts w:ascii="宋体" w:hAnsi="宋体" w:cs="宋体"/>
                <w:color w:val="000000"/>
              </w:rPr>
              <w:t>AFMII</w:t>
            </w:r>
            <w:r>
              <w:rPr>
                <w:rFonts w:hint="eastAsia" w:ascii="宋体" w:hAnsi="宋体" w:cs="宋体"/>
                <w:color w:val="000000"/>
              </w:rPr>
              <w:t>-</w:t>
            </w:r>
            <w:r>
              <w:rPr>
                <w:rFonts w:ascii="宋体" w:hAnsi="宋体" w:cs="宋体"/>
                <w:color w:val="000000"/>
              </w:rPr>
              <w:t>中期票据</w:t>
            </w:r>
            <w:r>
              <w:rPr>
                <w:rFonts w:hint="eastAsia" w:ascii="宋体" w:hAnsi="宋体" w:cs="宋体"/>
                <w:color w:val="000000"/>
              </w:rPr>
              <w:t>））（W</w:t>
            </w:r>
            <w:r>
              <w:rPr>
                <w:rFonts w:ascii="宋体" w:hAnsi="宋体" w:cs="宋体"/>
                <w:color w:val="000000"/>
              </w:rPr>
              <w:t>IND</w:t>
            </w:r>
            <w:r>
              <w:rPr>
                <w:rFonts w:hint="eastAsia" w:ascii="宋体" w:hAnsi="宋体" w:cs="宋体"/>
                <w:color w:val="000000"/>
              </w:rPr>
              <w:t>截图作为证明材料）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1" w:hRule="atLeast"/>
          <w:jc w:val="center"/>
        </w:trPr>
        <w:tc>
          <w:tcPr>
            <w:tcW w:w="635" w:type="dxa"/>
            <w:vMerge w:val="continue"/>
            <w:noWrap w:val="0"/>
            <w:vAlign w:val="center"/>
          </w:tcPr>
          <w:p>
            <w:pPr>
              <w:jc w:val="center"/>
              <w:rPr>
                <w:rFonts w:hint="eastAsia" w:ascii="宋体" w:hAnsi="宋体" w:cs="宋体"/>
                <w:sz w:val="22"/>
                <w:szCs w:val="22"/>
              </w:rPr>
            </w:pPr>
          </w:p>
        </w:tc>
        <w:tc>
          <w:tcPr>
            <w:tcW w:w="1314" w:type="dxa"/>
            <w:noWrap w:val="0"/>
            <w:vAlign w:val="center"/>
          </w:tcPr>
          <w:p>
            <w:pPr>
              <w:widowControl/>
              <w:jc w:val="center"/>
              <w:textAlignment w:val="center"/>
              <w:rPr>
                <w:rFonts w:hint="eastAsia" w:ascii="宋体" w:hAnsi="宋体" w:cs="宋体"/>
              </w:rPr>
            </w:pPr>
            <w:r>
              <w:rPr>
                <w:rFonts w:hint="eastAsia" w:ascii="宋体" w:hAnsi="宋体" w:cs="宋体"/>
                <w:sz w:val="22"/>
                <w:szCs w:val="22"/>
              </w:rPr>
              <w:t>承销服务方案</w:t>
            </w:r>
          </w:p>
        </w:tc>
        <w:tc>
          <w:tcPr>
            <w:tcW w:w="996" w:type="dxa"/>
            <w:noWrap w:val="0"/>
            <w:vAlign w:val="center"/>
          </w:tcPr>
          <w:p>
            <w:pPr>
              <w:widowControl/>
              <w:jc w:val="center"/>
              <w:textAlignment w:val="center"/>
              <w:rPr>
                <w:rFonts w:hint="eastAsia" w:ascii="宋体" w:hAnsi="宋体" w:cs="宋体"/>
                <w:kern w:val="0"/>
                <w:sz w:val="22"/>
                <w:szCs w:val="22"/>
                <w:lang w:bidi="ar"/>
              </w:rPr>
            </w:pPr>
            <w:r>
              <w:rPr>
                <w:rFonts w:hint="eastAsia" w:ascii="宋体" w:hAnsi="宋体" w:cs="宋体"/>
                <w:kern w:val="0"/>
                <w:sz w:val="22"/>
                <w:szCs w:val="22"/>
                <w:lang w:bidi="ar"/>
              </w:rPr>
              <w:t>满分50分</w:t>
            </w:r>
          </w:p>
        </w:tc>
        <w:tc>
          <w:tcPr>
            <w:tcW w:w="5635" w:type="dxa"/>
            <w:noWrap w:val="0"/>
            <w:vAlign w:val="center"/>
          </w:tcPr>
          <w:p>
            <w:pPr>
              <w:widowControl/>
              <w:jc w:val="left"/>
              <w:textAlignment w:val="center"/>
              <w:rPr>
                <w:rFonts w:ascii="宋体" w:hAnsi="宋体" w:cs="宋体"/>
                <w:b/>
                <w:sz w:val="22"/>
                <w:szCs w:val="22"/>
              </w:rPr>
            </w:pPr>
            <w:r>
              <w:rPr>
                <w:rFonts w:hint="eastAsia" w:ascii="宋体" w:hAnsi="宋体" w:cs="宋体"/>
                <w:b/>
                <w:sz w:val="22"/>
                <w:szCs w:val="22"/>
              </w:rPr>
              <w:t>评审依据：</w:t>
            </w:r>
          </w:p>
          <w:p>
            <w:pPr>
              <w:widowControl/>
              <w:jc w:val="left"/>
              <w:textAlignment w:val="center"/>
              <w:rPr>
                <w:rFonts w:ascii="宋体" w:hAnsi="宋体" w:cs="宋体"/>
              </w:rPr>
            </w:pPr>
            <w:r>
              <w:rPr>
                <w:rFonts w:hint="eastAsia" w:ascii="宋体" w:hAnsi="宋体" w:cs="宋体"/>
              </w:rPr>
              <w:t>1、投标人简介及竞争优势（ 0-5分）；</w:t>
            </w:r>
          </w:p>
          <w:p>
            <w:pPr>
              <w:widowControl/>
              <w:jc w:val="left"/>
              <w:textAlignment w:val="center"/>
              <w:rPr>
                <w:rFonts w:ascii="宋体" w:hAnsi="宋体" w:cs="宋体"/>
              </w:rPr>
            </w:pPr>
            <w:r>
              <w:rPr>
                <w:rFonts w:hint="eastAsia" w:ascii="宋体" w:hAnsi="宋体" w:cs="宋体"/>
              </w:rPr>
              <w:t>2、本次中期票据计划发行具体要素，包括但不限于注册期限建议、用途建议、发行时机建议、发行利率预计等。（0-10分）；</w:t>
            </w:r>
          </w:p>
          <w:p>
            <w:pPr>
              <w:widowControl/>
              <w:jc w:val="left"/>
              <w:textAlignment w:val="center"/>
              <w:rPr>
                <w:rFonts w:ascii="宋体" w:hAnsi="宋体" w:cs="宋体"/>
              </w:rPr>
            </w:pPr>
            <w:r>
              <w:rPr>
                <w:rFonts w:hint="eastAsia" w:ascii="宋体" w:hAnsi="宋体" w:cs="宋体"/>
              </w:rPr>
              <w:t>3、投标人安排的本次产品发行团队介绍，包括团队人员姓名、职务、学历、项目经验等，重点关注团队中人员工作经验、工作年限、借调交易商协会人员情况、现场驻扎人员情况及驻扎时间等。（0-10分）；</w:t>
            </w:r>
          </w:p>
          <w:p>
            <w:pPr>
              <w:widowControl/>
              <w:jc w:val="left"/>
              <w:textAlignment w:val="center"/>
              <w:rPr>
                <w:rFonts w:ascii="宋体" w:hAnsi="宋体" w:cs="宋体"/>
              </w:rPr>
            </w:pPr>
            <w:r>
              <w:rPr>
                <w:rFonts w:hint="eastAsia" w:ascii="宋体" w:hAnsi="宋体" w:cs="宋体"/>
              </w:rPr>
              <w:t>4、本次产品发行具体工作时间安排，需出具在承诺时间内取得注册通知书的相关承诺函。（0-5分）；</w:t>
            </w:r>
          </w:p>
          <w:p>
            <w:pPr>
              <w:widowControl/>
              <w:jc w:val="left"/>
              <w:textAlignment w:val="center"/>
              <w:rPr>
                <w:rFonts w:hint="eastAsia" w:ascii="宋体" w:hAnsi="宋体" w:cs="宋体"/>
              </w:rPr>
            </w:pPr>
            <w:r>
              <w:rPr>
                <w:rFonts w:hint="eastAsia" w:ascii="宋体" w:hAnsi="宋体" w:cs="宋体"/>
              </w:rPr>
              <w:t>5、本次产品发行后后续服务方案，包括但不限于本期中期票据注册过程中、发行过程中、存续期过程中可能出现的风险应对措施以及后续的综合金融服务方案（0-5分）；</w:t>
            </w:r>
          </w:p>
          <w:p>
            <w:pPr>
              <w:widowControl/>
              <w:jc w:val="left"/>
              <w:textAlignment w:val="center"/>
              <w:rPr>
                <w:rFonts w:ascii="宋体" w:hAnsi="宋体" w:cs="宋体"/>
              </w:rPr>
            </w:pPr>
            <w:r>
              <w:rPr>
                <w:rFonts w:hint="eastAsia" w:ascii="宋体" w:hAnsi="宋体" w:cs="宋体"/>
              </w:rPr>
              <w:t>6、投标人与交投的授信合作情况，按照2019年末或2020年3月15日贷款余额孰高的原则评分，最高得10分，依次减1分（0-10分）；</w:t>
            </w:r>
          </w:p>
          <w:p>
            <w:pPr>
              <w:widowControl/>
              <w:jc w:val="left"/>
              <w:textAlignment w:val="center"/>
              <w:rPr>
                <w:rFonts w:hint="eastAsia" w:ascii="宋体" w:hAnsi="宋体" w:cs="宋体"/>
              </w:rPr>
            </w:pPr>
            <w:r>
              <w:rPr>
                <w:rFonts w:hint="eastAsia" w:ascii="宋体" w:hAnsi="宋体" w:cs="宋体"/>
                <w:color w:val="000000"/>
              </w:rPr>
              <w:t>7、</w:t>
            </w:r>
            <w:r>
              <w:rPr>
                <w:rFonts w:hint="eastAsia" w:ascii="宋体" w:hAnsi="宋体" w:cs="宋体"/>
              </w:rPr>
              <w:t>承诺余额包销得5分，否则不得分。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29" w:hRule="atLeast"/>
          <w:jc w:val="center"/>
        </w:trPr>
        <w:tc>
          <w:tcPr>
            <w:tcW w:w="635" w:type="dxa"/>
            <w:noWrap w:val="0"/>
            <w:vAlign w:val="center"/>
          </w:tcPr>
          <w:p>
            <w:pPr>
              <w:widowControl/>
              <w:jc w:val="center"/>
              <w:textAlignment w:val="center"/>
              <w:rPr>
                <w:rFonts w:hint="eastAsia" w:ascii="宋体" w:hAnsi="宋体" w:cs="宋体"/>
                <w:sz w:val="22"/>
                <w:szCs w:val="22"/>
              </w:rPr>
            </w:pPr>
            <w:r>
              <w:rPr>
                <w:rFonts w:hint="eastAsia" w:ascii="宋体" w:hAnsi="宋体" w:cs="宋体"/>
                <w:sz w:val="22"/>
                <w:szCs w:val="22"/>
              </w:rPr>
              <w:t>投标报价</w:t>
            </w:r>
          </w:p>
          <w:p>
            <w:pPr>
              <w:widowControl/>
              <w:jc w:val="center"/>
              <w:textAlignment w:val="center"/>
              <w:rPr>
                <w:rFonts w:hint="eastAsia" w:ascii="宋体" w:hAnsi="宋体" w:cs="宋体"/>
                <w:sz w:val="22"/>
                <w:szCs w:val="22"/>
              </w:rPr>
            </w:pPr>
          </w:p>
        </w:tc>
        <w:tc>
          <w:tcPr>
            <w:tcW w:w="1314" w:type="dxa"/>
            <w:noWrap w:val="0"/>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承销费费率报价</w:t>
            </w:r>
            <w:r>
              <w:rPr>
                <w:rFonts w:hint="eastAsia" w:ascii="宋体" w:cs="宋体"/>
              </w:rPr>
              <w:t>（不含审计、评级、律师费）</w:t>
            </w:r>
          </w:p>
        </w:tc>
        <w:tc>
          <w:tcPr>
            <w:tcW w:w="996" w:type="dxa"/>
            <w:noWrap w:val="0"/>
            <w:vAlign w:val="center"/>
          </w:tcPr>
          <w:p>
            <w:pPr>
              <w:widowControl/>
              <w:jc w:val="center"/>
              <w:textAlignment w:val="center"/>
              <w:rPr>
                <w:rFonts w:hint="eastAsia" w:ascii="宋体" w:hAnsi="宋体" w:cs="宋体"/>
                <w:sz w:val="22"/>
                <w:szCs w:val="22"/>
              </w:rPr>
            </w:pPr>
            <w:r>
              <w:rPr>
                <w:rFonts w:hint="eastAsia" w:ascii="宋体" w:hAnsi="宋体" w:cs="宋体"/>
                <w:kern w:val="0"/>
                <w:sz w:val="22"/>
                <w:szCs w:val="22"/>
                <w:lang w:bidi="ar"/>
              </w:rPr>
              <w:t>满分10分</w:t>
            </w:r>
          </w:p>
        </w:tc>
        <w:tc>
          <w:tcPr>
            <w:tcW w:w="5635" w:type="dxa"/>
            <w:noWrap w:val="0"/>
            <w:vAlign w:val="center"/>
          </w:tcPr>
          <w:p>
            <w:pPr>
              <w:widowControl/>
              <w:jc w:val="left"/>
              <w:textAlignment w:val="center"/>
              <w:rPr>
                <w:rFonts w:hint="eastAsia" w:ascii="宋体" w:hAnsi="宋体" w:cs="宋体"/>
              </w:rPr>
            </w:pPr>
            <w:r>
              <w:rPr>
                <w:rFonts w:hint="eastAsia" w:ascii="宋体" w:hAnsi="宋体" w:cs="宋体"/>
              </w:rPr>
              <w:t>承销费率报价为由低至高排名，排名第一得满分10分，第2-3名得8分，第4-10名得6分，报价超过最高限价者得0分。</w:t>
            </w:r>
          </w:p>
        </w:tc>
      </w:tr>
    </w:tbl>
    <w:p>
      <w:pPr>
        <w:widowControl/>
        <w:jc w:val="left"/>
        <w:rPr>
          <w:rFonts w:hint="eastAsia" w:ascii="宋体" w:hAnsi="宋体" w:cs="宋体"/>
          <w:b/>
          <w:kern w:val="0"/>
          <w:sz w:val="22"/>
        </w:rPr>
      </w:pPr>
      <w:r>
        <w:rPr>
          <w:rFonts w:hint="eastAsia" w:ascii="宋体" w:hAnsi="宋体" w:cs="宋体"/>
          <w:b/>
          <w:kern w:val="0"/>
          <w:sz w:val="22"/>
        </w:rPr>
        <w:t>以上参与评审的证书、证件等资料复印件须加盖投标单位单位公章胶装在投标文件中，但必须保证复印件关键内容清晰可见，否则因无法识别的导致的一切责任均由投标人负责。</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25D0A"/>
    <w:rsid w:val="03325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2020-04-10T01:10:00Z</dcterms:created>
  <dc:creator>BigMeng</dc:creator>
  <cp:lastModifiedBy>BigMeng</cp:lastModifiedBy>
  <dcterms:modified xsi:type="dcterms:W3CDTF">2020-04-10T01:10:44Z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